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B6C" w:rsidRPr="00417B6C" w:rsidRDefault="00417B6C" w:rsidP="00417B6C">
      <w:pPr>
        <w:widowControl/>
        <w:shd w:val="clear" w:color="auto" w:fill="FFFFFF"/>
        <w:spacing w:line="570" w:lineRule="atLeast"/>
        <w:jc w:val="left"/>
        <w:outlineLvl w:val="0"/>
        <w:rPr>
          <w:rFonts w:ascii="Arial" w:eastAsia="宋体" w:hAnsi="Arial" w:cs="Arial"/>
          <w:b/>
          <w:bCs/>
          <w:color w:val="191919"/>
          <w:kern w:val="36"/>
          <w:sz w:val="42"/>
          <w:szCs w:val="42"/>
        </w:rPr>
      </w:pPr>
      <w:bookmarkStart w:id="0" w:name="_GoBack"/>
      <w:r w:rsidRPr="00417B6C">
        <w:rPr>
          <w:rFonts w:ascii="Arial" w:eastAsia="宋体" w:hAnsi="Arial" w:cs="Arial"/>
          <w:b/>
          <w:bCs/>
          <w:color w:val="191919"/>
          <w:kern w:val="36"/>
          <w:sz w:val="42"/>
          <w:szCs w:val="42"/>
        </w:rPr>
        <w:t>教育部本科教育教学审核评估指标体系（</w:t>
      </w:r>
      <w:r w:rsidRPr="00417B6C">
        <w:rPr>
          <w:rFonts w:ascii="Arial" w:eastAsia="宋体" w:hAnsi="Arial" w:cs="Arial"/>
          <w:b/>
          <w:bCs/>
          <w:color w:val="191919"/>
          <w:kern w:val="36"/>
          <w:sz w:val="42"/>
          <w:szCs w:val="42"/>
        </w:rPr>
        <w:t>2021—2025</w:t>
      </w:r>
      <w:r w:rsidRPr="00417B6C">
        <w:rPr>
          <w:rFonts w:ascii="Arial" w:eastAsia="宋体" w:hAnsi="Arial" w:cs="Arial"/>
          <w:b/>
          <w:bCs/>
          <w:color w:val="191919"/>
          <w:kern w:val="36"/>
          <w:sz w:val="42"/>
          <w:szCs w:val="42"/>
        </w:rPr>
        <w:t>年）</w:t>
      </w:r>
    </w:p>
    <w:bookmarkEnd w:id="0"/>
    <w:p w:rsidR="00417B6C" w:rsidRDefault="00417B6C" w:rsidP="00417B6C">
      <w:pPr>
        <w:pStyle w:val="a3"/>
        <w:shd w:val="clear" w:color="auto" w:fill="FFFFFF"/>
        <w:spacing w:before="151" w:beforeAutospacing="0" w:after="432" w:afterAutospacing="0"/>
        <w:jc w:val="right"/>
        <w:rPr>
          <w:rFonts w:ascii="Arial" w:hAnsi="Arial" w:cs="Arial"/>
          <w:color w:val="191919"/>
        </w:rPr>
      </w:pPr>
      <w:r>
        <w:rPr>
          <w:rFonts w:ascii="Arial" w:hAnsi="Arial" w:cs="Arial"/>
          <w:color w:val="191919"/>
        </w:rPr>
        <w:t>教督〔</w:t>
      </w:r>
      <w:r>
        <w:rPr>
          <w:rFonts w:ascii="Arial" w:hAnsi="Arial" w:cs="Arial"/>
          <w:color w:val="191919"/>
        </w:rPr>
        <w:t>2021</w:t>
      </w:r>
      <w:r>
        <w:rPr>
          <w:rFonts w:ascii="Arial" w:hAnsi="Arial" w:cs="Arial"/>
          <w:color w:val="191919"/>
        </w:rPr>
        <w:t>〕</w:t>
      </w:r>
      <w:r>
        <w:rPr>
          <w:rFonts w:ascii="Arial" w:hAnsi="Arial" w:cs="Arial"/>
          <w:color w:val="191919"/>
        </w:rPr>
        <w:t>1</w:t>
      </w:r>
      <w:r>
        <w:rPr>
          <w:rFonts w:ascii="Arial" w:hAnsi="Arial" w:cs="Arial"/>
          <w:color w:val="191919"/>
        </w:rPr>
        <w:t>号</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各省、自治区、直辖市教育厅（教委），新疆生产建设兵团教育局，有关部门（单位）教育司（局），部属各高等学校、部省合建各高等学校：</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为贯彻落实《深化新时代教育评价改革总体方案》和《关于深化新时代教育督导体制机制改革的意见》，推进高校分类评价，改进本科教育教学评估，推动提高本科人才培养质量，教育部制定了《普通高等学校本科教育教学审核评估实施方案（</w:t>
      </w:r>
      <w:r>
        <w:rPr>
          <w:rFonts w:ascii="Arial" w:hAnsi="Arial" w:cs="Arial"/>
          <w:color w:val="191919"/>
        </w:rPr>
        <w:t>2021—2025</w:t>
      </w:r>
      <w:r>
        <w:rPr>
          <w:rFonts w:ascii="Arial" w:hAnsi="Arial" w:cs="Arial"/>
          <w:color w:val="191919"/>
        </w:rPr>
        <w:t>年）》，现印发给你们，请遵照执行。</w:t>
      </w:r>
    </w:p>
    <w:p w:rsidR="00417B6C" w:rsidRDefault="00417B6C" w:rsidP="00417B6C">
      <w:pPr>
        <w:pStyle w:val="a3"/>
        <w:shd w:val="clear" w:color="auto" w:fill="FFFFFF"/>
        <w:spacing w:before="151" w:beforeAutospacing="0" w:after="432" w:afterAutospacing="0"/>
        <w:jc w:val="right"/>
        <w:rPr>
          <w:rFonts w:ascii="Arial" w:hAnsi="Arial" w:cs="Arial"/>
          <w:color w:val="191919"/>
        </w:rPr>
      </w:pPr>
      <w:r>
        <w:rPr>
          <w:rFonts w:ascii="Arial" w:hAnsi="Arial" w:cs="Arial"/>
          <w:color w:val="191919"/>
        </w:rPr>
        <w:t>教育部</w:t>
      </w:r>
    </w:p>
    <w:p w:rsidR="00417B6C" w:rsidRDefault="00417B6C" w:rsidP="00417B6C">
      <w:pPr>
        <w:pStyle w:val="a3"/>
        <w:shd w:val="clear" w:color="auto" w:fill="FFFFFF"/>
        <w:spacing w:before="151" w:beforeAutospacing="0" w:after="432" w:afterAutospacing="0"/>
        <w:jc w:val="right"/>
        <w:rPr>
          <w:rFonts w:ascii="Arial" w:hAnsi="Arial" w:cs="Arial"/>
          <w:color w:val="191919"/>
        </w:rPr>
      </w:pPr>
      <w:r>
        <w:rPr>
          <w:rFonts w:ascii="Arial" w:hAnsi="Arial" w:cs="Arial"/>
          <w:color w:val="191919"/>
        </w:rPr>
        <w:t>2021</w:t>
      </w:r>
      <w:r>
        <w:rPr>
          <w:rFonts w:ascii="Arial" w:hAnsi="Arial" w:cs="Arial"/>
          <w:color w:val="191919"/>
        </w:rPr>
        <w:t>年</w:t>
      </w:r>
      <w:r>
        <w:rPr>
          <w:rFonts w:ascii="Arial" w:hAnsi="Arial" w:cs="Arial"/>
          <w:color w:val="191919"/>
        </w:rPr>
        <w:t>1</w:t>
      </w:r>
      <w:r>
        <w:rPr>
          <w:rFonts w:ascii="Arial" w:hAnsi="Arial" w:cs="Arial"/>
          <w:color w:val="191919"/>
        </w:rPr>
        <w:t>月</w:t>
      </w:r>
      <w:r>
        <w:rPr>
          <w:rFonts w:ascii="Arial" w:hAnsi="Arial" w:cs="Arial"/>
          <w:color w:val="191919"/>
        </w:rPr>
        <w:t>21</w:t>
      </w:r>
      <w:r>
        <w:rPr>
          <w:rFonts w:ascii="Arial" w:hAnsi="Arial" w:cs="Arial"/>
          <w:color w:val="191919"/>
        </w:rPr>
        <w:t>日</w:t>
      </w:r>
    </w:p>
    <w:p w:rsidR="00417B6C" w:rsidRDefault="00417B6C" w:rsidP="00417B6C">
      <w:pPr>
        <w:pStyle w:val="a3"/>
        <w:shd w:val="clear" w:color="auto" w:fill="FFFFFF"/>
        <w:spacing w:before="0" w:beforeAutospacing="0" w:after="0" w:afterAutospacing="0"/>
        <w:jc w:val="center"/>
        <w:rPr>
          <w:rFonts w:ascii="Arial" w:hAnsi="Arial" w:cs="Arial"/>
          <w:color w:val="191919"/>
        </w:rPr>
      </w:pPr>
      <w:r>
        <w:rPr>
          <w:rStyle w:val="a4"/>
          <w:rFonts w:ascii="Arial" w:hAnsi="Arial" w:cs="Arial"/>
          <w:color w:val="191919"/>
          <w:bdr w:val="none" w:sz="0" w:space="0" w:color="auto" w:frame="1"/>
        </w:rPr>
        <w:t>普通高等学校本科教育教学审核评估实施方案（</w:t>
      </w:r>
      <w:r>
        <w:rPr>
          <w:rStyle w:val="a4"/>
          <w:rFonts w:ascii="Arial" w:hAnsi="Arial" w:cs="Arial"/>
          <w:color w:val="191919"/>
          <w:bdr w:val="none" w:sz="0" w:space="0" w:color="auto" w:frame="1"/>
        </w:rPr>
        <w:t>2021—2025</w:t>
      </w:r>
      <w:r>
        <w:rPr>
          <w:rStyle w:val="a4"/>
          <w:rFonts w:ascii="Arial" w:hAnsi="Arial" w:cs="Arial"/>
          <w:color w:val="191919"/>
          <w:bdr w:val="none" w:sz="0" w:space="0" w:color="auto" w:frame="1"/>
        </w:rPr>
        <w:t>年）</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为深入学习贯彻习近平总书记关于教育的重要论述和全国教育大会精神，落实中共中央、国务院印发的《深化新时代教育评价改革总体方案》和中共中央办公厅、国务院办公厅《关于深化新时代教育督导体制机制改革的意见》，引导高校遵循教育规律，聚焦本科教育教学质量，培养德智体美劳全面发展的社会主义建设者和接班人，制定普通高等学校本科教育教学审核评估（以下简称审核评估）实施方案（</w:t>
      </w:r>
      <w:r>
        <w:rPr>
          <w:rFonts w:ascii="Arial" w:hAnsi="Arial" w:cs="Arial"/>
          <w:color w:val="191919"/>
        </w:rPr>
        <w:t>2021—2025</w:t>
      </w:r>
      <w:r>
        <w:rPr>
          <w:rFonts w:ascii="Arial" w:hAnsi="Arial" w:cs="Arial"/>
          <w:color w:val="191919"/>
        </w:rPr>
        <w:t>年）。</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一、指导思想</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以习近平新时代中国特色社会主义思想为指导，全面贯彻落实党的教育方针，坚持教育为人民服务、为中国共产党治国理政服务、为巩固和发展中国特色社会主义制度服务、为改革开放和社会主义现代化建设服务。全面落实立德树人根本任务，坚决破除</w:t>
      </w:r>
      <w:r>
        <w:rPr>
          <w:rFonts w:ascii="Arial" w:hAnsi="Arial" w:cs="Arial"/>
          <w:color w:val="191919"/>
        </w:rPr>
        <w:t>“</w:t>
      </w:r>
      <w:r>
        <w:rPr>
          <w:rFonts w:ascii="Arial" w:hAnsi="Arial" w:cs="Arial"/>
          <w:color w:val="191919"/>
        </w:rPr>
        <w:t>五唯</w:t>
      </w:r>
      <w:r>
        <w:rPr>
          <w:rFonts w:ascii="Arial" w:hAnsi="Arial" w:cs="Arial"/>
          <w:color w:val="191919"/>
        </w:rPr>
        <w:t>”</w:t>
      </w:r>
      <w:r>
        <w:rPr>
          <w:rFonts w:ascii="Arial" w:hAnsi="Arial" w:cs="Arial"/>
          <w:color w:val="191919"/>
        </w:rPr>
        <w:t>顽</w:t>
      </w:r>
      <w:proofErr w:type="gramStart"/>
      <w:r>
        <w:rPr>
          <w:rFonts w:ascii="Arial" w:hAnsi="Arial" w:cs="Arial"/>
          <w:color w:val="191919"/>
        </w:rPr>
        <w:t>瘴</w:t>
      </w:r>
      <w:proofErr w:type="gramEnd"/>
      <w:r>
        <w:rPr>
          <w:rFonts w:ascii="Arial" w:hAnsi="Arial" w:cs="Arial"/>
          <w:color w:val="191919"/>
        </w:rPr>
        <w:t>痼疾，扭转不科学教育评价导向，确保人才培养中心地位和本科教育教学核心地位。推进评估分类，</w:t>
      </w:r>
      <w:proofErr w:type="gramStart"/>
      <w:r>
        <w:rPr>
          <w:rFonts w:ascii="Arial" w:hAnsi="Arial" w:cs="Arial"/>
          <w:color w:val="191919"/>
        </w:rPr>
        <w:t>以评促建</w:t>
      </w:r>
      <w:proofErr w:type="gramEnd"/>
      <w:r>
        <w:rPr>
          <w:rFonts w:ascii="Arial" w:hAnsi="Arial" w:cs="Arial"/>
          <w:color w:val="191919"/>
        </w:rPr>
        <w:t>、以评促改、</w:t>
      </w:r>
      <w:proofErr w:type="gramStart"/>
      <w:r>
        <w:rPr>
          <w:rFonts w:ascii="Arial" w:hAnsi="Arial" w:cs="Arial"/>
          <w:color w:val="191919"/>
        </w:rPr>
        <w:t>以评促管</w:t>
      </w:r>
      <w:proofErr w:type="gramEnd"/>
      <w:r>
        <w:rPr>
          <w:rFonts w:ascii="Arial" w:hAnsi="Arial" w:cs="Arial"/>
          <w:color w:val="191919"/>
        </w:rPr>
        <w:t>、以评促强，推动高校积极构建自觉、自省、自律、自查、自纠的大学质量文化，建立健全中国特色、世界水平的本科教育教学质量保障体系，引导高校内涵发展、特色发展、创新发展，培养德智体美劳全面发展的社会主义建设者和接班人。</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二、基本原则</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lastRenderedPageBreak/>
        <w:t>（一）坚持立德树人。把牢社会主义办学方向，构建以立德</w:t>
      </w:r>
      <w:proofErr w:type="gramStart"/>
      <w:r>
        <w:rPr>
          <w:rFonts w:ascii="Arial" w:hAnsi="Arial" w:cs="Arial"/>
          <w:color w:val="191919"/>
        </w:rPr>
        <w:t>树人成效</w:t>
      </w:r>
      <w:proofErr w:type="gramEnd"/>
      <w:r>
        <w:rPr>
          <w:rFonts w:ascii="Arial" w:hAnsi="Arial" w:cs="Arial"/>
          <w:color w:val="191919"/>
        </w:rPr>
        <w:t>为根本标准的评估体系，加强对学校办学方向、育人过程、学生发展、质量保障体系等方面的审核，引导高校构建</w:t>
      </w:r>
      <w:r>
        <w:rPr>
          <w:rFonts w:ascii="Arial" w:hAnsi="Arial" w:cs="Arial"/>
          <w:color w:val="191919"/>
        </w:rPr>
        <w:t>“</w:t>
      </w:r>
      <w:r>
        <w:rPr>
          <w:rFonts w:ascii="Arial" w:hAnsi="Arial" w:cs="Arial"/>
          <w:color w:val="191919"/>
        </w:rPr>
        <w:t>三全育人</w:t>
      </w:r>
      <w:r>
        <w:rPr>
          <w:rFonts w:ascii="Arial" w:hAnsi="Arial" w:cs="Arial"/>
          <w:color w:val="191919"/>
        </w:rPr>
        <w:t>”</w:t>
      </w:r>
      <w:r>
        <w:rPr>
          <w:rFonts w:ascii="Arial" w:hAnsi="Arial" w:cs="Arial"/>
          <w:color w:val="191919"/>
        </w:rPr>
        <w:t>格局。</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（二）坚持推进改革。紧扣本科教育教学改革主线，落实</w:t>
      </w:r>
      <w:r>
        <w:rPr>
          <w:rFonts w:ascii="Arial" w:hAnsi="Arial" w:cs="Arial"/>
          <w:color w:val="191919"/>
        </w:rPr>
        <w:t>“</w:t>
      </w:r>
      <w:r>
        <w:rPr>
          <w:rFonts w:ascii="Arial" w:hAnsi="Arial" w:cs="Arial"/>
          <w:color w:val="191919"/>
        </w:rPr>
        <w:t>以本为本</w:t>
      </w:r>
      <w:r>
        <w:rPr>
          <w:rFonts w:ascii="Arial" w:hAnsi="Arial" w:cs="Arial"/>
          <w:color w:val="191919"/>
        </w:rPr>
        <w:t>”“</w:t>
      </w:r>
      <w:r>
        <w:rPr>
          <w:rFonts w:ascii="Arial" w:hAnsi="Arial" w:cs="Arial"/>
          <w:color w:val="191919"/>
        </w:rPr>
        <w:t>四个回归</w:t>
      </w:r>
      <w:r>
        <w:rPr>
          <w:rFonts w:ascii="Arial" w:hAnsi="Arial" w:cs="Arial"/>
          <w:color w:val="191919"/>
        </w:rPr>
        <w:t>”</w:t>
      </w:r>
      <w:r>
        <w:rPr>
          <w:rFonts w:ascii="Arial" w:hAnsi="Arial" w:cs="Arial"/>
          <w:color w:val="191919"/>
        </w:rPr>
        <w:t>，强化学生中心、产出导向、持续改进，以评估理念引领改革、以评估举措落实改革、以评估标准检验改革，实现高质量内涵式发展。</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（三）坚持分类指导。适应高等教育多样化发展需求，依据不同层次不同类型高校办学定位、培养目标、教育教学水平和质量保障体系建设情况，实施分类评价、精准评价，引导和激励高校各展所长、特色发展。</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（四）坚持问题导向。建立</w:t>
      </w:r>
      <w:r>
        <w:rPr>
          <w:rFonts w:ascii="Arial" w:hAnsi="Arial" w:cs="Arial"/>
          <w:color w:val="191919"/>
        </w:rPr>
        <w:t>“</w:t>
      </w:r>
      <w:r>
        <w:rPr>
          <w:rFonts w:ascii="Arial" w:hAnsi="Arial" w:cs="Arial"/>
          <w:color w:val="191919"/>
        </w:rPr>
        <w:t>问题清单</w:t>
      </w:r>
      <w:r>
        <w:rPr>
          <w:rFonts w:ascii="Arial" w:hAnsi="Arial" w:cs="Arial"/>
          <w:color w:val="191919"/>
        </w:rPr>
        <w:t>”</w:t>
      </w:r>
      <w:r>
        <w:rPr>
          <w:rFonts w:ascii="Arial" w:hAnsi="Arial" w:cs="Arial"/>
          <w:color w:val="191919"/>
        </w:rPr>
        <w:t>，严把高校正确办学方向，落实本科人才培养底线要求，提出改进发展意见，强化评估结果使用和督导复查，推动高校落实主体责任、建立持续改进长效机制，培育</w:t>
      </w:r>
      <w:proofErr w:type="gramStart"/>
      <w:r>
        <w:rPr>
          <w:rFonts w:ascii="Arial" w:hAnsi="Arial" w:cs="Arial"/>
          <w:color w:val="191919"/>
        </w:rPr>
        <w:t>践行</w:t>
      </w:r>
      <w:proofErr w:type="gramEnd"/>
      <w:r>
        <w:rPr>
          <w:rFonts w:ascii="Arial" w:hAnsi="Arial" w:cs="Arial"/>
          <w:color w:val="191919"/>
        </w:rPr>
        <w:t>高校质量文化。</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（五）坚持方法创新。综合运用互联网、大数据、人工智能等现代信息技术手段，深度挖掘常态监测数据，采取线上与入校结合、定性与定量结合、明察与暗访结合等方式，切实减轻高校负担，提高工作实效。</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三、评估对象、周期及分类</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（一）评估对象和周期。经国家正式批准独立设置的普通本科高校均应参加审核评估，其中：新建普通本科高校应先参加普通高等学校本科教学工作合格评估，原则上获得</w:t>
      </w:r>
      <w:r>
        <w:rPr>
          <w:rFonts w:ascii="Arial" w:hAnsi="Arial" w:cs="Arial"/>
          <w:color w:val="191919"/>
        </w:rPr>
        <w:t>“</w:t>
      </w:r>
      <w:r>
        <w:rPr>
          <w:rFonts w:ascii="Arial" w:hAnsi="Arial" w:cs="Arial"/>
          <w:color w:val="191919"/>
        </w:rPr>
        <w:t>通过</w:t>
      </w:r>
      <w:r>
        <w:rPr>
          <w:rFonts w:ascii="Arial" w:hAnsi="Arial" w:cs="Arial"/>
          <w:color w:val="191919"/>
        </w:rPr>
        <w:t>”</w:t>
      </w:r>
      <w:r>
        <w:rPr>
          <w:rFonts w:ascii="Arial" w:hAnsi="Arial" w:cs="Arial"/>
          <w:color w:val="191919"/>
        </w:rPr>
        <w:t>结论</w:t>
      </w:r>
      <w:r>
        <w:rPr>
          <w:rFonts w:ascii="Arial" w:hAnsi="Arial" w:cs="Arial"/>
          <w:color w:val="191919"/>
        </w:rPr>
        <w:t>5</w:t>
      </w:r>
      <w:r>
        <w:rPr>
          <w:rFonts w:ascii="Arial" w:hAnsi="Arial" w:cs="Arial"/>
          <w:color w:val="191919"/>
        </w:rPr>
        <w:t>年后方可参加本轮审核评估。</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审核评估每</w:t>
      </w:r>
      <w:r>
        <w:rPr>
          <w:rFonts w:ascii="Arial" w:hAnsi="Arial" w:cs="Arial"/>
          <w:color w:val="191919"/>
        </w:rPr>
        <w:t>5</w:t>
      </w:r>
      <w:r>
        <w:rPr>
          <w:rFonts w:ascii="Arial" w:hAnsi="Arial" w:cs="Arial"/>
          <w:color w:val="191919"/>
        </w:rPr>
        <w:t>年一个周期，本轮审核评估时间为</w:t>
      </w:r>
      <w:r>
        <w:rPr>
          <w:rFonts w:ascii="Arial" w:hAnsi="Arial" w:cs="Arial"/>
          <w:color w:val="191919"/>
        </w:rPr>
        <w:t>2021—2025</w:t>
      </w:r>
      <w:r>
        <w:rPr>
          <w:rFonts w:ascii="Arial" w:hAnsi="Arial" w:cs="Arial"/>
          <w:color w:val="191919"/>
        </w:rPr>
        <w:t>年。</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二）评估分类。根据高等教育整体布局结构和高校办学定位、服务面向、发展实际，本轮审核评估分为两大类。高校可根据大学章程和发展规划，综合考虑各自办学定位、人才培养目标和质量保障体系建设情况等进行自主选择。</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 xml:space="preserve">1. </w:t>
      </w:r>
      <w:r>
        <w:rPr>
          <w:rFonts w:ascii="Arial" w:hAnsi="Arial" w:cs="Arial"/>
          <w:color w:val="191919"/>
        </w:rPr>
        <w:t>第一类审核评估针对具有世界一流办学目标、一流师资队伍和育人平台，培养一流拔尖创新人才，服务国家重大战略需求的普通本科高校。重点考察建设世界一流大学所必备的质量保障能力及本科教育教学综合改革举措与成效。</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 xml:space="preserve">2. </w:t>
      </w:r>
      <w:r>
        <w:rPr>
          <w:rFonts w:ascii="Arial" w:hAnsi="Arial" w:cs="Arial"/>
          <w:color w:val="191919"/>
        </w:rPr>
        <w:t>第二类审核评估针对高校的办学定位和办学历史不同，具体分为三种：一是适用于已参加过上轮审核评估，重点以学术型人才培养为主要方向的普通本科高校；二是适用于已参加过上轮审核评估，重点以应用型人才培养为主要方向的普通本科高校；三是适用于已通过合格评估</w:t>
      </w:r>
      <w:r>
        <w:rPr>
          <w:rFonts w:ascii="Arial" w:hAnsi="Arial" w:cs="Arial"/>
          <w:color w:val="191919"/>
        </w:rPr>
        <w:t>5</w:t>
      </w:r>
      <w:r>
        <w:rPr>
          <w:rFonts w:ascii="Arial" w:hAnsi="Arial" w:cs="Arial"/>
          <w:color w:val="191919"/>
        </w:rPr>
        <w:t>年以上，首次参加审核评估、</w:t>
      </w:r>
      <w:r>
        <w:rPr>
          <w:rFonts w:ascii="Arial" w:hAnsi="Arial" w:cs="Arial"/>
          <w:color w:val="191919"/>
        </w:rPr>
        <w:lastRenderedPageBreak/>
        <w:t>本科办学历史较短的地方应用型普通本科高校。第二类审核评估重点考察高校本科人才培养目标定位、资源条件、培养过程、学生发展、教学成效等。</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四、评估程序</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审核评估程序包括评估申请、学校自评、专家评审、反馈结论、限期整改、督导复查。</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一）评估申请。高校需向教育行政部门提出申请，包括选择评估类型和评估时间。中央部门所属高校（包括部省合建高校，下同）向教育部提出申请。地方高校向省级教育行政部门提出申请，其中申请参加第一类审核评估由省级教育行政部门向教育部推荐。</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教育部普通高等学校本科教育教学评估专家委员会（以下简称教育部评估专家委员会）审议第一类审核评估参评高校。</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二）学校自评。高校成立由主要负责人任组长的审核评估工作领导小组，落实主体责任，按要求参加评估培训，对照评估重点内容和指标体系，结合实际和上一轮评估整改情况，制订工作方案，全面深入开展自评工作，形成《自评报告》并公示。</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（三）专家评审。评估专家统一从全国审核评估专家库中产生，人数为</w:t>
      </w:r>
      <w:r>
        <w:rPr>
          <w:rFonts w:ascii="Arial" w:hAnsi="Arial" w:cs="Arial"/>
          <w:color w:val="191919"/>
        </w:rPr>
        <w:t>15—21</w:t>
      </w:r>
      <w:r>
        <w:rPr>
          <w:rFonts w:ascii="Arial" w:hAnsi="Arial" w:cs="Arial"/>
          <w:color w:val="191919"/>
        </w:rPr>
        <w:t>人。原则上，外省（区、市）专家人数不少于评估专家组人数的三分之二、专家组组长由外省（区、市）专家担任。采取审阅材料、线上访谈、随机暗访等方式进行线上评估，在全面考察的基础上，提出需要入校深入考察的存疑问题，形成专家个人线上评估意见。专家组组长根据线上评估情况，确定</w:t>
      </w:r>
      <w:r>
        <w:rPr>
          <w:rFonts w:ascii="Arial" w:hAnsi="Arial" w:cs="Arial"/>
          <w:color w:val="191919"/>
        </w:rPr>
        <w:t>5—9</w:t>
      </w:r>
      <w:r>
        <w:rPr>
          <w:rFonts w:ascii="Arial" w:hAnsi="Arial" w:cs="Arial"/>
          <w:color w:val="191919"/>
        </w:rPr>
        <w:t>位入校评估专家，在</w:t>
      </w:r>
      <w:r>
        <w:rPr>
          <w:rFonts w:ascii="Arial" w:hAnsi="Arial" w:cs="Arial"/>
          <w:color w:val="191919"/>
        </w:rPr>
        <w:t>2—4</w:t>
      </w:r>
      <w:r>
        <w:rPr>
          <w:rFonts w:ascii="Arial" w:hAnsi="Arial" w:cs="Arial"/>
          <w:color w:val="191919"/>
        </w:rPr>
        <w:t>天内重点</w:t>
      </w:r>
      <w:proofErr w:type="gramStart"/>
      <w:r>
        <w:rPr>
          <w:rFonts w:ascii="Arial" w:hAnsi="Arial" w:cs="Arial"/>
          <w:color w:val="191919"/>
        </w:rPr>
        <w:t>考察线</w:t>
      </w:r>
      <w:proofErr w:type="gramEnd"/>
      <w:r>
        <w:rPr>
          <w:rFonts w:ascii="Arial" w:hAnsi="Arial" w:cs="Arial"/>
          <w:color w:val="191919"/>
        </w:rPr>
        <w:t>上评估提出的存疑问题。</w:t>
      </w:r>
      <w:proofErr w:type="gramStart"/>
      <w:r>
        <w:rPr>
          <w:rFonts w:ascii="Arial" w:hAnsi="Arial" w:cs="Arial"/>
          <w:color w:val="191919"/>
        </w:rPr>
        <w:t>综合线</w:t>
      </w:r>
      <w:proofErr w:type="gramEnd"/>
      <w:r>
        <w:rPr>
          <w:rFonts w:ascii="Arial" w:hAnsi="Arial" w:cs="Arial"/>
          <w:color w:val="191919"/>
        </w:rPr>
        <w:t>上评估和入校评估总体情况，制订问题清单，形成写实性《审核评估报告》。</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通过教育部认证（评估）并在有效期内的专业（课程），免于评估考察，切实减轻高校负担。</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四）反馈结论。教育部和各省级教育行政部门分别负责审议《审核评估报告》，通过后作为评估结论反馈高校，并在一定范围内公开。对于突破办学规范和办学条件底线等问题突出的高校，教育部和有关省级教育行政部门要采取约谈负责人、减少招生计划和限制新增本科专业备案等问责措施。教育部每年向社会公布完成审核评估的高校名单，并在完成评估的高校中征集本科教育教学示范案例，经教育部评估专家委员会审议后发布，做好经验推广、示范引领。</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（五）限期整改。高校应在评估结论反馈</w:t>
      </w:r>
      <w:r>
        <w:rPr>
          <w:rFonts w:ascii="Arial" w:hAnsi="Arial" w:cs="Arial"/>
          <w:color w:val="191919"/>
        </w:rPr>
        <w:t>30</w:t>
      </w:r>
      <w:r>
        <w:rPr>
          <w:rFonts w:ascii="Arial" w:hAnsi="Arial" w:cs="Arial"/>
          <w:color w:val="191919"/>
        </w:rPr>
        <w:t>日内，制订并提交《整改方案》。评估整改坚持问题导向，找准问题原因，排查薄弱环节，提出解决举</w:t>
      </w:r>
      <w:r>
        <w:rPr>
          <w:rFonts w:ascii="Arial" w:hAnsi="Arial" w:cs="Arial"/>
          <w:color w:val="191919"/>
        </w:rPr>
        <w:lastRenderedPageBreak/>
        <w:t>措，加强制度建设。建立整改工作台账，实行督查督办和问责制度，持续追踪整改进展，确保整改取得实效。原则上，高校需在两年内完成整改并提交《整改报告》。</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六）督导复查。教育部和各省级教育行政部门以随机抽查的方式，对高校整改情况进行督导复查。对于评估整改落实不力、关键办学指标评估后下滑的高校，将采取约谈高校负责人、减少招生计划、限制新增本科专业备案和公开曝光等问责措施。</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五、组织管理</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教育部负责制定审核评估政策、总体规划，统筹协调、指导监督各地各校审核评估工作。委托教育部高等教育教学评估中心（以下简称教育部评估中心）具体组织实施中央部门所属高校第一、二类审核评估和地方</w:t>
      </w:r>
      <w:proofErr w:type="gramStart"/>
      <w:r>
        <w:rPr>
          <w:rFonts w:ascii="Arial" w:hAnsi="Arial" w:cs="Arial"/>
          <w:color w:val="191919"/>
        </w:rPr>
        <w:t>高校第</w:t>
      </w:r>
      <w:proofErr w:type="gramEnd"/>
      <w:r>
        <w:rPr>
          <w:rFonts w:ascii="Arial" w:hAnsi="Arial" w:cs="Arial"/>
          <w:color w:val="191919"/>
        </w:rPr>
        <w:t>一类审核评估工作。</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省级教育行政部门依据国家有关规定和要求，结合实际，负责制订本地区审核评估实施方案、总体规划，报教育部备案。组织所属高校第二类审核评估及推荐高校参加第一类审核评估工作。选取</w:t>
      </w:r>
      <w:r>
        <w:rPr>
          <w:rFonts w:ascii="Arial" w:hAnsi="Arial" w:cs="Arial"/>
          <w:color w:val="191919"/>
        </w:rPr>
        <w:t>1—2</w:t>
      </w:r>
      <w:r>
        <w:rPr>
          <w:rFonts w:ascii="Arial" w:hAnsi="Arial" w:cs="Arial"/>
          <w:color w:val="191919"/>
        </w:rPr>
        <w:t>所高校委托教育部评估中心指导开展第二类审核评估试点，为全面推开本地区审核评估工作做好示范。</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教育部评估中心制订专家管理办法，建设全国统一、开放共享的专家库，建立专家组织推荐、专业培训、持证入库、随机遴选、异地选派及淘汰退出机制。</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审核评估经费由有关具体组织部门负责落实。</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六、纪律与监督</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color w:val="191919"/>
        </w:rPr>
        <w:t>审核评估实行信息公开制度，严肃评估纪律，开展</w:t>
      </w:r>
      <w:r>
        <w:rPr>
          <w:rFonts w:ascii="Arial" w:hAnsi="Arial" w:cs="Arial"/>
          <w:color w:val="191919"/>
        </w:rPr>
        <w:t>“</w:t>
      </w:r>
      <w:r>
        <w:rPr>
          <w:rFonts w:ascii="Arial" w:hAnsi="Arial" w:cs="Arial"/>
          <w:color w:val="191919"/>
        </w:rPr>
        <w:t>阳光评估</w:t>
      </w:r>
      <w:r>
        <w:rPr>
          <w:rFonts w:ascii="Arial" w:hAnsi="Arial" w:cs="Arial"/>
          <w:color w:val="191919"/>
        </w:rPr>
        <w:t>”</w:t>
      </w:r>
      <w:r>
        <w:rPr>
          <w:rFonts w:ascii="Arial" w:hAnsi="Arial" w:cs="Arial"/>
          <w:color w:val="191919"/>
        </w:rPr>
        <w:t>，广泛接受学校、教师、学生和社会的监督，确保评估工作公平公正。教育部和省级教育行政部门对参评学校、评估专家和评估组织工作的规范性、公正性进行监督，受理举报和申诉，提出处理意见。</w:t>
      </w:r>
    </w:p>
    <w:p w:rsidR="00417B6C" w:rsidRDefault="00417B6C" w:rsidP="00417B6C">
      <w:pPr>
        <w:pStyle w:val="a3"/>
        <w:shd w:val="clear" w:color="auto" w:fill="FFFFFF"/>
        <w:spacing w:before="0" w:beforeAutospacing="0" w:after="0" w:afterAutospacing="0"/>
        <w:rPr>
          <w:rFonts w:ascii="Arial" w:hAnsi="Arial" w:cs="Arial"/>
          <w:color w:val="191919"/>
        </w:rPr>
      </w:pPr>
      <w:r>
        <w:rPr>
          <w:rStyle w:val="a4"/>
          <w:rFonts w:ascii="Arial" w:hAnsi="Arial" w:cs="Arial"/>
          <w:color w:val="191919"/>
          <w:bdr w:val="none" w:sz="0" w:space="0" w:color="auto" w:frame="1"/>
        </w:rPr>
        <w:t>普通高等学校本科教育教学审核评估指标体系（试行）</w:t>
      </w:r>
    </w:p>
    <w:p w:rsidR="00417B6C" w:rsidRDefault="00417B6C" w:rsidP="00417B6C">
      <w:pPr>
        <w:pStyle w:val="a3"/>
        <w:shd w:val="clear" w:color="auto" w:fill="FFFFFF"/>
        <w:spacing w:before="0" w:beforeAutospacing="0" w:after="0" w:afterAutospacing="0"/>
        <w:rPr>
          <w:rFonts w:ascii="Arial" w:hAnsi="Arial" w:cs="Arial"/>
          <w:color w:val="191919"/>
        </w:rPr>
      </w:pPr>
      <w:r>
        <w:rPr>
          <w:rFonts w:ascii="Arial" w:hAnsi="Arial" w:cs="Arial"/>
          <w:color w:val="191919"/>
          <w:bdr w:val="none" w:sz="0" w:space="0" w:color="auto" w:frame="1"/>
        </w:rPr>
        <w:t>第二类审核评估</w:t>
      </w:r>
    </w:p>
    <w:p w:rsidR="00417B6C" w:rsidRDefault="00417B6C" w:rsidP="00417B6C">
      <w:pPr>
        <w:pStyle w:val="a3"/>
        <w:shd w:val="clear" w:color="auto" w:fill="FFFFFF"/>
        <w:spacing w:before="0" w:beforeAutospacing="0" w:after="0" w:afterAutospacing="0"/>
        <w:rPr>
          <w:rFonts w:ascii="Arial" w:hAnsi="Arial" w:cs="Arial"/>
          <w:color w:val="191919"/>
        </w:rPr>
      </w:pPr>
      <w:r>
        <w:rPr>
          <w:rFonts w:ascii="Arial" w:hAnsi="Arial" w:cs="Arial"/>
          <w:color w:val="191919"/>
          <w:bdr w:val="none" w:sz="0" w:space="0" w:color="auto" w:frame="1"/>
        </w:rPr>
        <w:t>第二类审核评估针对高校的办学定位和办学历史不同，具体分为三种：一是适用于已参加过上轮审核评估，重点以学术型人才培养为主要方向的普通本科高校；二是适用于已参加过上轮审核评估，重点以应用型人才培养为主要方向的普通本科高校；三是适用于已通过合格评估</w:t>
      </w:r>
      <w:r>
        <w:rPr>
          <w:rFonts w:ascii="Arial" w:hAnsi="Arial" w:cs="Arial"/>
          <w:color w:val="191919"/>
          <w:bdr w:val="none" w:sz="0" w:space="0" w:color="auto" w:frame="1"/>
        </w:rPr>
        <w:t>5</w:t>
      </w:r>
      <w:r>
        <w:rPr>
          <w:rFonts w:ascii="Arial" w:hAnsi="Arial" w:cs="Arial"/>
          <w:color w:val="191919"/>
          <w:bdr w:val="none" w:sz="0" w:space="0" w:color="auto" w:frame="1"/>
        </w:rPr>
        <w:t>年以上，首次参加审核评估、本科办学历史较短的地方应用型普通本科高校。第二类审核评估重点考察高校本科人才培养目标定位、资源条件、培养过程、学生发展、教学成效等。</w:t>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255377" cy="8009585"/>
            <wp:effectExtent l="0" t="0" r="2540" b="0"/>
            <wp:docPr id="7" name="图片 7" descr="https://p0.itc.cn/q_70/images03/20210304/806a21add5cb451facb5a26e4ac6c9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0.itc.cn/q_70/images03/20210304/806a21add5cb451facb5a26e4ac6c9ab.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2265" cy="8020083"/>
                    </a:xfrm>
                    <a:prstGeom prst="rect">
                      <a:avLst/>
                    </a:prstGeom>
                    <a:noFill/>
                    <a:ln>
                      <a:noFill/>
                    </a:ln>
                  </pic:spPr>
                </pic:pic>
              </a:graphicData>
            </a:graphic>
          </wp:inline>
        </w:drawing>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215879" cy="8181202"/>
            <wp:effectExtent l="0" t="0" r="4445" b="0"/>
            <wp:docPr id="6" name="图片 6" descr="https://p7.itc.cn/q_70/images03/20210304/e95577c7662942c988071886c7bc9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7.itc.cn/q_70/images03/20210304/e95577c7662942c988071886c7bc9e1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1748" cy="8190407"/>
                    </a:xfrm>
                    <a:prstGeom prst="rect">
                      <a:avLst/>
                    </a:prstGeom>
                    <a:noFill/>
                    <a:ln>
                      <a:noFill/>
                    </a:ln>
                  </pic:spPr>
                </pic:pic>
              </a:graphicData>
            </a:graphic>
          </wp:inline>
        </w:drawing>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406226" cy="8314577"/>
            <wp:effectExtent l="0" t="0" r="4445" b="0"/>
            <wp:docPr id="5" name="图片 5" descr="https://p5.itc.cn/q_70/images03/20210304/8c18d4c4a6334b6987c36a5d45d44c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5.itc.cn/q_70/images03/20210304/8c18d4c4a6334b6987c36a5d45d44cdb.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8107" cy="8332850"/>
                    </a:xfrm>
                    <a:prstGeom prst="rect">
                      <a:avLst/>
                    </a:prstGeom>
                    <a:noFill/>
                    <a:ln>
                      <a:noFill/>
                    </a:ln>
                  </pic:spPr>
                </pic:pic>
              </a:graphicData>
            </a:graphic>
          </wp:inline>
        </w:drawing>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672473" cy="9133732"/>
            <wp:effectExtent l="0" t="0" r="4445" b="0"/>
            <wp:docPr id="4" name="图片 4" descr="https://p3.itc.cn/q_70/images03/20210304/7021d230187c4597bcb15462eb47f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3.itc.cn/q_70/images03/20210304/7021d230187c4597bcb15462eb47f85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1198" cy="9147781"/>
                    </a:xfrm>
                    <a:prstGeom prst="rect">
                      <a:avLst/>
                    </a:prstGeom>
                    <a:noFill/>
                    <a:ln>
                      <a:noFill/>
                    </a:ln>
                  </pic:spPr>
                </pic:pic>
              </a:graphicData>
            </a:graphic>
          </wp:inline>
        </w:drawing>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517799" cy="8695642"/>
            <wp:effectExtent l="0" t="0" r="6985" b="0"/>
            <wp:docPr id="3" name="图片 3" descr="https://p2.itc.cn/q_70/images03/20210304/88fe8f8dc94443ada1d2f90f3bc65f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2.itc.cn/q_70/images03/20210304/88fe8f8dc94443ada1d2f90f3bc65f1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1354" cy="8717004"/>
                    </a:xfrm>
                    <a:prstGeom prst="rect">
                      <a:avLst/>
                    </a:prstGeom>
                    <a:noFill/>
                    <a:ln>
                      <a:noFill/>
                    </a:ln>
                  </pic:spPr>
                </pic:pic>
              </a:graphicData>
            </a:graphic>
          </wp:inline>
        </w:drawing>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838678" cy="6276578"/>
            <wp:effectExtent l="0" t="0" r="0" b="0"/>
            <wp:docPr id="2" name="图片 2" descr="https://p8.itc.cn/q_70/images03/20210304/ee59e961e0cb4a31be815e3e31bc5b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8.itc.cn/q_70/images03/20210304/ee59e961e0cb4a31be815e3e31bc5b3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264" cy="6286883"/>
                    </a:xfrm>
                    <a:prstGeom prst="rect">
                      <a:avLst/>
                    </a:prstGeom>
                    <a:noFill/>
                    <a:ln>
                      <a:noFill/>
                    </a:ln>
                  </pic:spPr>
                </pic:pic>
              </a:graphicData>
            </a:graphic>
          </wp:inline>
        </w:drawing>
      </w:r>
    </w:p>
    <w:p w:rsidR="00417B6C" w:rsidRDefault="00417B6C" w:rsidP="00417B6C">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lastRenderedPageBreak/>
        <w:drawing>
          <wp:inline distT="0" distB="0" distL="0" distR="0">
            <wp:extent cx="5462155" cy="7743111"/>
            <wp:effectExtent l="0" t="0" r="5715" b="0"/>
            <wp:docPr id="1" name="图片 1" descr="https://p3.itc.cn/q_70/images03/20210304/3ab08ffd019542d99b8ce2f1ef74fa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3.itc.cn/q_70/images03/20210304/3ab08ffd019542d99b8ce2f1ef74fa1c.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100" cy="7755791"/>
                    </a:xfrm>
                    <a:prstGeom prst="rect">
                      <a:avLst/>
                    </a:prstGeom>
                    <a:noFill/>
                    <a:ln>
                      <a:noFill/>
                    </a:ln>
                  </pic:spPr>
                </pic:pic>
              </a:graphicData>
            </a:graphic>
          </wp:inline>
        </w:drawing>
      </w:r>
    </w:p>
    <w:p w:rsidR="003A2584" w:rsidRPr="00417B6C" w:rsidRDefault="003A2584"/>
    <w:sectPr w:rsidR="003A2584" w:rsidRPr="00417B6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850"/>
    <w:rsid w:val="003A2584"/>
    <w:rsid w:val="00417B6C"/>
    <w:rsid w:val="006A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DC1FF-2DD5-4ADD-8363-EF3CECA0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417B6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17B6C"/>
    <w:rPr>
      <w:rFonts w:ascii="宋体" w:eastAsia="宋体" w:hAnsi="宋体" w:cs="宋体"/>
      <w:b/>
      <w:bCs/>
      <w:kern w:val="36"/>
      <w:sz w:val="48"/>
      <w:szCs w:val="48"/>
    </w:rPr>
  </w:style>
  <w:style w:type="paragraph" w:styleId="a3">
    <w:name w:val="Normal (Web)"/>
    <w:basedOn w:val="a"/>
    <w:uiPriority w:val="99"/>
    <w:semiHidden/>
    <w:unhideWhenUsed/>
    <w:rsid w:val="00417B6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17B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629296">
      <w:bodyDiv w:val="1"/>
      <w:marLeft w:val="0"/>
      <w:marRight w:val="0"/>
      <w:marTop w:val="0"/>
      <w:marBottom w:val="0"/>
      <w:divBdr>
        <w:top w:val="none" w:sz="0" w:space="0" w:color="auto"/>
        <w:left w:val="none" w:sz="0" w:space="0" w:color="auto"/>
        <w:bottom w:val="none" w:sz="0" w:space="0" w:color="auto"/>
        <w:right w:val="none" w:sz="0" w:space="0" w:color="auto"/>
      </w:divBdr>
    </w:div>
    <w:div w:id="1664435974">
      <w:bodyDiv w:val="1"/>
      <w:marLeft w:val="0"/>
      <w:marRight w:val="0"/>
      <w:marTop w:val="0"/>
      <w:marBottom w:val="0"/>
      <w:divBdr>
        <w:top w:val="none" w:sz="0" w:space="0" w:color="auto"/>
        <w:left w:val="none" w:sz="0" w:space="0" w:color="auto"/>
        <w:bottom w:val="none" w:sz="0" w:space="0" w:color="auto"/>
        <w:right w:val="none" w:sz="0" w:space="0" w:color="auto"/>
      </w:divBdr>
    </w:div>
    <w:div w:id="175311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533</Words>
  <Characters>3040</Characters>
  <Application>Microsoft Office Word</Application>
  <DocSecurity>0</DocSecurity>
  <Lines>25</Lines>
  <Paragraphs>7</Paragraphs>
  <ScaleCrop>false</ScaleCrop>
  <Company>Microsoft</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2023-05-18T02:22:00Z</dcterms:created>
  <dcterms:modified xsi:type="dcterms:W3CDTF">2023-05-18T02:24:00Z</dcterms:modified>
</cp:coreProperties>
</file>